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E1002B" w:rsidRPr="000E1154" w14:paraId="4D07E525" w14:textId="77777777" w:rsidTr="000E1FA2">
        <w:tc>
          <w:tcPr>
            <w:tcW w:w="9350" w:type="dxa"/>
            <w:shd w:val="clear" w:color="auto" w:fill="002060"/>
          </w:tcPr>
          <w:p w14:paraId="4056625A" w14:textId="77777777" w:rsidR="00E1002B" w:rsidRPr="000E1154" w:rsidRDefault="00E1002B" w:rsidP="000E1FA2">
            <w:pPr>
              <w:tabs>
                <w:tab w:val="left" w:pos="630"/>
              </w:tabs>
              <w:jc w:val="center"/>
              <w:rPr>
                <w:rFonts w:ascii="Calibri" w:eastAsia="Times New Roman" w:hAnsi="Calibri" w:cs="Calibri"/>
                <w:b/>
                <w:color w:val="000000"/>
                <w:sz w:val="28"/>
                <w:szCs w:val="28"/>
                <w:u w:val="single"/>
              </w:rPr>
            </w:pPr>
            <w:r w:rsidRPr="000E1154">
              <w:rPr>
                <w:rFonts w:ascii="Calibri" w:eastAsia="Times New Roman" w:hAnsi="Calibri" w:cs="Calibri"/>
                <w:b/>
                <w:color w:val="FFFFFF" w:themeColor="background1"/>
                <w:sz w:val="32"/>
                <w:szCs w:val="32"/>
              </w:rPr>
              <w:t>Building’s Moving Procedures</w:t>
            </w:r>
          </w:p>
        </w:tc>
      </w:tr>
      <w:tr w:rsidR="008B1CC7" w:rsidRPr="000E1154" w14:paraId="42DB5775" w14:textId="77777777" w:rsidTr="000E1FA2">
        <w:tc>
          <w:tcPr>
            <w:tcW w:w="9350" w:type="dxa"/>
          </w:tcPr>
          <w:p w14:paraId="1883E2B8" w14:textId="77777777" w:rsidR="008B1CC7" w:rsidRPr="008B1CC7" w:rsidRDefault="008B1CC7" w:rsidP="008B1CC7">
            <w:pPr>
              <w:rPr>
                <w:i/>
                <w:iCs/>
              </w:rPr>
            </w:pPr>
          </w:p>
          <w:p w14:paraId="570DAE0F" w14:textId="169D7334" w:rsidR="008B1CC7" w:rsidRPr="008B1CC7" w:rsidRDefault="008B1CC7" w:rsidP="008B1CC7">
            <w:pPr>
              <w:tabs>
                <w:tab w:val="left" w:pos="630"/>
              </w:tabs>
              <w:rPr>
                <w:rFonts w:ascii="Calibri" w:eastAsia="Times New Roman" w:hAnsi="Calibri" w:cs="Calibri"/>
                <w:i/>
              </w:rPr>
            </w:pPr>
            <w:r w:rsidRPr="008B1CC7">
              <w:rPr>
                <w:i/>
                <w:iCs/>
              </w:rPr>
              <w:t xml:space="preserve">Please review the following and provide relevant information to the Building Management Office three (3) weeks prior to the intended move date. </w:t>
            </w:r>
          </w:p>
        </w:tc>
      </w:tr>
      <w:tr w:rsidR="008B1CC7" w:rsidRPr="000E1154" w14:paraId="4BC0860F" w14:textId="77777777" w:rsidTr="000E1FA2">
        <w:tc>
          <w:tcPr>
            <w:tcW w:w="9350" w:type="dxa"/>
          </w:tcPr>
          <w:p w14:paraId="73B6ED75" w14:textId="77777777" w:rsidR="008B1CC7" w:rsidRPr="008B1CC7" w:rsidRDefault="008B1CC7" w:rsidP="008B1CC7">
            <w:pPr>
              <w:rPr>
                <w:rFonts w:ascii="Calibri" w:eastAsia="Times New Roman" w:hAnsi="Calibri" w:cs="Calibri"/>
              </w:rPr>
            </w:pPr>
          </w:p>
        </w:tc>
      </w:tr>
      <w:tr w:rsidR="008B1CC7" w:rsidRPr="000E1154" w14:paraId="43084313" w14:textId="77777777" w:rsidTr="00845E90">
        <w:trPr>
          <w:trHeight w:val="387"/>
        </w:trPr>
        <w:tc>
          <w:tcPr>
            <w:tcW w:w="9350" w:type="dxa"/>
          </w:tcPr>
          <w:p w14:paraId="33E3BE4C" w14:textId="4BFFF3B4" w:rsidR="008B1CC7" w:rsidRPr="008B1CC7" w:rsidRDefault="008B1CC7" w:rsidP="008B1CC7">
            <w:pPr>
              <w:pStyle w:val="ListParagraph"/>
              <w:numPr>
                <w:ilvl w:val="0"/>
                <w:numId w:val="7"/>
              </w:numPr>
              <w:spacing w:before="240"/>
              <w:rPr>
                <w:rFonts w:ascii="Calibri" w:eastAsia="Times New Roman" w:hAnsi="Calibri" w:cs="Calibri"/>
              </w:rPr>
            </w:pPr>
            <w:r w:rsidRPr="008B1CC7">
              <w:t>Moving must occur before 8 a.m. or after 5 p.m., or anytime with advanced notice on the weekends. Elevators are available for use during non-business hours with the approval of the management office.</w:t>
            </w:r>
          </w:p>
        </w:tc>
      </w:tr>
      <w:tr w:rsidR="008B1CC7" w:rsidRPr="000E1154" w14:paraId="7BF26FD0" w14:textId="77777777" w:rsidTr="000E1FA2">
        <w:tc>
          <w:tcPr>
            <w:tcW w:w="9350" w:type="dxa"/>
          </w:tcPr>
          <w:p w14:paraId="5224F0A1" w14:textId="77777777" w:rsidR="008B1CC7" w:rsidRPr="008B1CC7" w:rsidRDefault="008B1CC7" w:rsidP="008B1CC7">
            <w:pPr>
              <w:pStyle w:val="ListParagraph"/>
              <w:numPr>
                <w:ilvl w:val="0"/>
                <w:numId w:val="10"/>
              </w:numPr>
              <w:spacing w:before="240"/>
            </w:pPr>
            <w:r w:rsidRPr="008B1CC7">
              <w:t>Tenant is responsible for supervising the moving process as well as providing suite and building access, unless other arrangements are made in advance. For the benefit of all Tenants, deliveries can only be accommodated on evenings and weekends. Please specify the date and time desired as soon as possible to avoid conflicts with reservations of the freight elevators. Additionally, the name of the moving company, telephone number and contact information of the onsite moving supervisor must be submitted to management.</w:t>
            </w:r>
          </w:p>
          <w:p w14:paraId="6E303557" w14:textId="77777777" w:rsidR="008B1CC7" w:rsidRPr="008B1CC7" w:rsidRDefault="008B1CC7" w:rsidP="008B1CC7">
            <w:pPr>
              <w:pStyle w:val="ListParagraph"/>
              <w:spacing w:before="240"/>
              <w:ind w:left="360"/>
              <w:rPr>
                <w:i/>
                <w:iCs/>
              </w:rPr>
            </w:pPr>
            <w:r w:rsidRPr="008B1CC7">
              <w:rPr>
                <w:i/>
                <w:iCs/>
              </w:rPr>
              <w:t>Please notify Management 48 hours prior if you would like to request management to provide any access necessary.</w:t>
            </w:r>
          </w:p>
          <w:p w14:paraId="4A7B372D" w14:textId="77777777" w:rsidR="008B1CC7" w:rsidRPr="008B1CC7" w:rsidRDefault="008B1CC7" w:rsidP="008B1CC7">
            <w:pPr>
              <w:pStyle w:val="ListParagraph"/>
              <w:spacing w:before="240"/>
              <w:ind w:left="360"/>
              <w:rPr>
                <w:i/>
                <w:iCs/>
              </w:rPr>
            </w:pPr>
          </w:p>
          <w:p w14:paraId="0553D3D6" w14:textId="74009AD4" w:rsidR="008B1CC7" w:rsidRPr="008B1CC7" w:rsidRDefault="008B1CC7" w:rsidP="008B1CC7">
            <w:pPr>
              <w:pStyle w:val="ListParagraph"/>
              <w:numPr>
                <w:ilvl w:val="0"/>
                <w:numId w:val="7"/>
              </w:numPr>
              <w:spacing w:before="240"/>
              <w:rPr>
                <w:rFonts w:ascii="Calibri" w:eastAsia="Times New Roman" w:hAnsi="Calibri" w:cs="Calibri"/>
              </w:rPr>
            </w:pPr>
            <w:r w:rsidRPr="008B1CC7">
              <w:t>The moving contractor or Tenant should contact the management office so that use of the elevator can be scheduled.</w:t>
            </w:r>
            <w:r w:rsidRPr="008B1CC7">
              <w:rPr>
                <w:i/>
                <w:iCs/>
              </w:rPr>
              <w:t xml:space="preserve"> </w:t>
            </w:r>
            <w:r w:rsidRPr="008B1CC7">
              <w:t xml:space="preserve">The Tenant requesting the move will be held responsible for any damage to the building during the move. It is the Tenant’s responsibility to obtain a Certificate of Insurance from the moving company prior to the move. Movers must report any electrical problems or equipment breakdowns that occur. At the conclusion of any move, the moving company is responsible for removing any trash, packing cartons, and moving boxes. The building trash containers are not to be used for moving debris. </w:t>
            </w:r>
          </w:p>
        </w:tc>
      </w:tr>
      <w:tr w:rsidR="008B1CC7" w:rsidRPr="000E1154" w14:paraId="240CB7BF" w14:textId="77777777" w:rsidTr="000E1FA2">
        <w:tc>
          <w:tcPr>
            <w:tcW w:w="9350" w:type="dxa"/>
          </w:tcPr>
          <w:p w14:paraId="1EB86BCF" w14:textId="07D0BE6A" w:rsidR="008B1CC7" w:rsidRPr="008B1CC7" w:rsidRDefault="008B1CC7" w:rsidP="008B1CC7">
            <w:pPr>
              <w:pStyle w:val="ListParagraph"/>
              <w:numPr>
                <w:ilvl w:val="0"/>
                <w:numId w:val="7"/>
              </w:numPr>
              <w:spacing w:before="240"/>
              <w:rPr>
                <w:rFonts w:ascii="Calibri" w:eastAsia="Times New Roman" w:hAnsi="Calibri" w:cs="Calibri"/>
              </w:rPr>
            </w:pPr>
            <w:r w:rsidRPr="008B1CC7">
              <w:t>Floor and wall protection (i.e., Masonite) must be used to cover common area surfaces where items will be moved. Floor protection is required specifically for any items weighing in excess of 200 pounds so as not to damage/crack tile or roll the carpet. No pallet jacks are allowed inside Lincoln Center. Any pallets used for deliveries must be removed by the vendor at the time of delivery.  Additionally, to ensure our buildings remain secure, building entry doors must never be propped open.</w:t>
            </w:r>
          </w:p>
        </w:tc>
      </w:tr>
      <w:tr w:rsidR="008B1CC7" w:rsidRPr="000E1154" w14:paraId="38AACFDE" w14:textId="77777777" w:rsidTr="000E1FA2">
        <w:tc>
          <w:tcPr>
            <w:tcW w:w="9350" w:type="dxa"/>
            <w:tcBorders>
              <w:bottom w:val="nil"/>
            </w:tcBorders>
          </w:tcPr>
          <w:p w14:paraId="041870C4" w14:textId="321A9886" w:rsidR="008B1CC7" w:rsidRPr="008B1CC7" w:rsidRDefault="008B1CC7" w:rsidP="008B1CC7">
            <w:pPr>
              <w:pStyle w:val="ListParagraph"/>
              <w:numPr>
                <w:ilvl w:val="0"/>
                <w:numId w:val="7"/>
              </w:numPr>
              <w:spacing w:before="240"/>
              <w:rPr>
                <w:rFonts w:ascii="Calibri" w:eastAsia="Times New Roman" w:hAnsi="Calibri" w:cs="Calibri"/>
              </w:rPr>
            </w:pPr>
            <w:r w:rsidRPr="008B1CC7">
              <w:t xml:space="preserve">The movers are required to utilize the designated, striped loading zones only. </w:t>
            </w:r>
            <w:r w:rsidRPr="008B1CC7">
              <w:rPr>
                <w:b/>
                <w:bCs/>
              </w:rPr>
              <w:t xml:space="preserve">Please do not park in the fire lanes or a </w:t>
            </w:r>
            <w:proofErr w:type="gramStart"/>
            <w:r w:rsidRPr="008B1CC7">
              <w:rPr>
                <w:b/>
                <w:bCs/>
              </w:rPr>
              <w:t>main entries</w:t>
            </w:r>
            <w:proofErr w:type="gramEnd"/>
            <w:r w:rsidRPr="008B1CC7">
              <w:rPr>
                <w:b/>
                <w:bCs/>
              </w:rPr>
              <w:t xml:space="preserve">. </w:t>
            </w:r>
            <w:r w:rsidRPr="008B1CC7">
              <w:t>For reference,</w:t>
            </w:r>
            <w:r w:rsidRPr="008B1CC7">
              <w:rPr>
                <w:b/>
                <w:bCs/>
              </w:rPr>
              <w:t xml:space="preserve"> </w:t>
            </w:r>
            <w:r w:rsidRPr="008B1CC7">
              <w:t>Site Maps that indicate the location of each loading zone are available by contacting the Building Management Office.</w:t>
            </w:r>
          </w:p>
        </w:tc>
      </w:tr>
      <w:tr w:rsidR="00E1002B" w:rsidRPr="000E1154" w14:paraId="062ADF90" w14:textId="77777777" w:rsidTr="000E1FA2">
        <w:tc>
          <w:tcPr>
            <w:tcW w:w="9350" w:type="dxa"/>
            <w:tcBorders>
              <w:top w:val="single" w:sz="4" w:space="0" w:color="auto"/>
              <w:left w:val="nil"/>
              <w:bottom w:val="nil"/>
              <w:right w:val="nil"/>
            </w:tcBorders>
          </w:tcPr>
          <w:p w14:paraId="236551B3" w14:textId="77777777" w:rsidR="00E1002B" w:rsidRDefault="00E1002B" w:rsidP="000E1FA2">
            <w:pPr>
              <w:jc w:val="center"/>
              <w:rPr>
                <w:rFonts w:ascii="Calibri" w:eastAsia="Times New Roman" w:hAnsi="Calibri" w:cs="Calibri"/>
                <w:color w:val="000000"/>
                <w:sz w:val="24"/>
                <w:szCs w:val="24"/>
              </w:rPr>
            </w:pPr>
          </w:p>
          <w:p w14:paraId="00FBF7A1" w14:textId="03488EF3" w:rsidR="00E1002B" w:rsidRPr="00B62790" w:rsidRDefault="009A3F2E" w:rsidP="00804E0C">
            <w:pPr>
              <w:jc w:val="center"/>
              <w:rPr>
                <w:rFonts w:ascii="Calibri" w:eastAsia="Times New Roman" w:hAnsi="Calibri" w:cs="Calibri"/>
              </w:rPr>
            </w:pPr>
            <w:r w:rsidRPr="00B62790">
              <w:rPr>
                <w:rFonts w:ascii="Calibri" w:eastAsia="Times New Roman" w:hAnsi="Calibri" w:cs="Calibri"/>
              </w:rPr>
              <w:t>Lincoln Center</w:t>
            </w:r>
          </w:p>
          <w:p w14:paraId="5D57866C" w14:textId="2C256A6B" w:rsidR="00E1002B" w:rsidRPr="00B62790" w:rsidRDefault="009A3F2E" w:rsidP="00804E0C">
            <w:pPr>
              <w:jc w:val="center"/>
              <w:rPr>
                <w:rFonts w:ascii="Calibri" w:eastAsia="Times New Roman" w:hAnsi="Calibri" w:cs="Calibri"/>
              </w:rPr>
            </w:pPr>
            <w:r w:rsidRPr="00B62790">
              <w:rPr>
                <w:rFonts w:ascii="Calibri" w:eastAsia="Times New Roman" w:hAnsi="Calibri" w:cs="Calibri"/>
              </w:rPr>
              <w:t>10220 SW Greenburg Rd, Suite 310</w:t>
            </w:r>
          </w:p>
          <w:p w14:paraId="01CCBA27" w14:textId="4F383D06" w:rsidR="00E1002B" w:rsidRPr="00B62790" w:rsidRDefault="009A3F2E" w:rsidP="00804E0C">
            <w:pPr>
              <w:jc w:val="center"/>
              <w:rPr>
                <w:rFonts w:ascii="Calibri" w:eastAsia="Times New Roman" w:hAnsi="Calibri" w:cs="Calibri"/>
              </w:rPr>
            </w:pPr>
            <w:r w:rsidRPr="00B62790">
              <w:rPr>
                <w:rFonts w:ascii="Calibri" w:eastAsia="Times New Roman" w:hAnsi="Calibri" w:cs="Calibri"/>
              </w:rPr>
              <w:t>Portland, OR 97223</w:t>
            </w:r>
          </w:p>
          <w:p w14:paraId="260E0BBD" w14:textId="5F5F8C6E" w:rsidR="00E1002B" w:rsidRPr="00B62790" w:rsidRDefault="009A3F2E" w:rsidP="00804E0C">
            <w:pPr>
              <w:jc w:val="center"/>
              <w:rPr>
                <w:rFonts w:ascii="Calibri" w:eastAsia="Times New Roman" w:hAnsi="Calibri" w:cs="Calibri"/>
              </w:rPr>
            </w:pPr>
            <w:r w:rsidRPr="00B62790">
              <w:rPr>
                <w:rFonts w:ascii="Calibri" w:eastAsia="Times New Roman" w:hAnsi="Calibri" w:cs="Calibri"/>
              </w:rPr>
              <w:t>503-619-3100</w:t>
            </w:r>
          </w:p>
          <w:p w14:paraId="03E51387" w14:textId="77777777" w:rsidR="00E1002B" w:rsidRPr="006C44B7" w:rsidRDefault="00E1002B" w:rsidP="000E1FA2">
            <w:pPr>
              <w:spacing w:before="240"/>
              <w:rPr>
                <w:rFonts w:ascii="Calibri" w:eastAsia="Times New Roman" w:hAnsi="Calibri" w:cs="Calibri"/>
                <w:color w:val="000000"/>
                <w:sz w:val="24"/>
                <w:szCs w:val="24"/>
              </w:rPr>
            </w:pPr>
            <w:bookmarkStart w:id="0" w:name="_GoBack"/>
            <w:bookmarkEnd w:id="0"/>
          </w:p>
        </w:tc>
      </w:tr>
    </w:tbl>
    <w:p w14:paraId="6D2FD0A5" w14:textId="77777777" w:rsidR="00E1002B" w:rsidRDefault="00E1002B" w:rsidP="00E1002B">
      <w:pPr>
        <w:tabs>
          <w:tab w:val="left" w:pos="630"/>
        </w:tabs>
      </w:pPr>
    </w:p>
    <w:p w14:paraId="74225EA6" w14:textId="77777777" w:rsidR="001E233F" w:rsidRPr="00E1002B" w:rsidRDefault="001E233F" w:rsidP="00E1002B"/>
    <w:sectPr w:rsidR="001E233F" w:rsidRPr="00E1002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B8B0F" w14:textId="77777777" w:rsidR="00ED3C02" w:rsidRDefault="00ED3C02">
      <w:pPr>
        <w:spacing w:after="0" w:line="240" w:lineRule="auto"/>
      </w:pPr>
      <w:r>
        <w:separator/>
      </w:r>
    </w:p>
  </w:endnote>
  <w:endnote w:type="continuationSeparator" w:id="0">
    <w:p w14:paraId="681E93D4" w14:textId="77777777" w:rsidR="00ED3C02" w:rsidRDefault="00ED3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7B058" w14:textId="77777777" w:rsidR="00C12C1E" w:rsidRDefault="00C12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5924706"/>
      <w:docPartObj>
        <w:docPartGallery w:val="Page Numbers (Bottom of Page)"/>
        <w:docPartUnique/>
      </w:docPartObj>
    </w:sdtPr>
    <w:sdtEndPr>
      <w:rPr>
        <w:color w:val="7F7F7F" w:themeColor="background1" w:themeShade="7F"/>
        <w:spacing w:val="60"/>
        <w:sz w:val="20"/>
        <w:szCs w:val="20"/>
      </w:rPr>
    </w:sdtEndPr>
    <w:sdtContent>
      <w:p w14:paraId="7181B852" w14:textId="099B3E6C" w:rsidR="00835BB3" w:rsidRPr="00835BB3" w:rsidRDefault="00835BB3">
        <w:pPr>
          <w:pStyle w:val="Footer"/>
          <w:pBdr>
            <w:top w:val="single" w:sz="4" w:space="1" w:color="D9D9D9" w:themeColor="background1" w:themeShade="D9"/>
          </w:pBdr>
          <w:rPr>
            <w:b/>
            <w:bCs/>
            <w:sz w:val="20"/>
            <w:szCs w:val="20"/>
          </w:rPr>
        </w:pPr>
        <w:r w:rsidRPr="00835BB3">
          <w:rPr>
            <w:sz w:val="20"/>
            <w:szCs w:val="20"/>
          </w:rPr>
          <w:fldChar w:fldCharType="begin"/>
        </w:r>
        <w:r w:rsidRPr="00835BB3">
          <w:rPr>
            <w:sz w:val="20"/>
            <w:szCs w:val="20"/>
          </w:rPr>
          <w:instrText xml:space="preserve"> PAGE   \* MERGEFORMAT </w:instrText>
        </w:r>
        <w:r w:rsidRPr="00835BB3">
          <w:rPr>
            <w:sz w:val="20"/>
            <w:szCs w:val="20"/>
          </w:rPr>
          <w:fldChar w:fldCharType="separate"/>
        </w:r>
        <w:r w:rsidR="00621242" w:rsidRPr="00621242">
          <w:rPr>
            <w:b/>
            <w:bCs/>
            <w:noProof/>
            <w:sz w:val="20"/>
            <w:szCs w:val="20"/>
          </w:rPr>
          <w:t>1</w:t>
        </w:r>
        <w:r w:rsidRPr="00835BB3">
          <w:rPr>
            <w:b/>
            <w:bCs/>
            <w:noProof/>
            <w:sz w:val="20"/>
            <w:szCs w:val="20"/>
          </w:rPr>
          <w:fldChar w:fldCharType="end"/>
        </w:r>
        <w:r w:rsidRPr="00835BB3">
          <w:rPr>
            <w:b/>
            <w:bCs/>
            <w:sz w:val="20"/>
            <w:szCs w:val="20"/>
          </w:rPr>
          <w:t xml:space="preserve"> | </w:t>
        </w:r>
        <w:r w:rsidRPr="00835BB3">
          <w:rPr>
            <w:color w:val="7F7F7F" w:themeColor="background1" w:themeShade="7F"/>
            <w:spacing w:val="60"/>
            <w:sz w:val="20"/>
            <w:szCs w:val="20"/>
          </w:rPr>
          <w:t>Page</w:t>
        </w:r>
      </w:p>
    </w:sdtContent>
  </w:sdt>
  <w:p w14:paraId="506A1991" w14:textId="77777777" w:rsidR="00835BB3" w:rsidRDefault="00835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5A615" w14:textId="77777777" w:rsidR="00C12C1E" w:rsidRDefault="00C12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EFB16" w14:textId="77777777" w:rsidR="00ED3C02" w:rsidRDefault="00ED3C02">
      <w:pPr>
        <w:spacing w:after="0" w:line="240" w:lineRule="auto"/>
      </w:pPr>
      <w:r>
        <w:separator/>
      </w:r>
    </w:p>
  </w:footnote>
  <w:footnote w:type="continuationSeparator" w:id="0">
    <w:p w14:paraId="7F64ED22" w14:textId="77777777" w:rsidR="00ED3C02" w:rsidRDefault="00ED3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5AE32" w14:textId="77777777" w:rsidR="00C12C1E" w:rsidRDefault="00C12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44A5E" w14:textId="77777777" w:rsidR="00AF5F3A" w:rsidRDefault="00E1002B">
    <w:pPr>
      <w:pStyle w:val="Header"/>
    </w:pPr>
    <w:r>
      <w:rPr>
        <w:noProof/>
      </w:rPr>
      <w:drawing>
        <wp:anchor distT="0" distB="0" distL="114300" distR="114300" simplePos="0" relativeHeight="251659264" behindDoc="1" locked="0" layoutInCell="1" allowOverlap="1" wp14:anchorId="790612D2" wp14:editId="790D01F7">
          <wp:simplePos x="0" y="0"/>
          <wp:positionH relativeFrom="margin">
            <wp:align>center</wp:align>
          </wp:positionH>
          <wp:positionV relativeFrom="paragraph">
            <wp:posOffset>-287020</wp:posOffset>
          </wp:positionV>
          <wp:extent cx="1148080" cy="769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8080" cy="769620"/>
                  </a:xfrm>
                  <a:prstGeom prst="rect">
                    <a:avLst/>
                  </a:prstGeom>
                </pic:spPr>
              </pic:pic>
            </a:graphicData>
          </a:graphic>
          <wp14:sizeRelH relativeFrom="page">
            <wp14:pctWidth>0</wp14:pctWidth>
          </wp14:sizeRelH>
          <wp14:sizeRelV relativeFrom="page">
            <wp14:pctHeight>0</wp14:pctHeight>
          </wp14:sizeRelV>
        </wp:anchor>
      </w:drawing>
    </w:r>
  </w:p>
  <w:p w14:paraId="4885DEE0" w14:textId="77777777" w:rsidR="00AF5F3A" w:rsidRDefault="00ED3C02">
    <w:pPr>
      <w:pStyle w:val="Header"/>
    </w:pPr>
  </w:p>
  <w:p w14:paraId="52C41256" w14:textId="77777777" w:rsidR="00AF5F3A" w:rsidRDefault="00ED3C02">
    <w:pPr>
      <w:pStyle w:val="Header"/>
    </w:pPr>
  </w:p>
  <w:p w14:paraId="47005AB6" w14:textId="77777777" w:rsidR="00AF5F3A" w:rsidRDefault="00ED3C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D3A7D" w14:textId="77777777" w:rsidR="00C12C1E" w:rsidRDefault="00C12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5D57"/>
    <w:multiLevelType w:val="hybridMultilevel"/>
    <w:tmpl w:val="646623A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5E0474"/>
    <w:multiLevelType w:val="hybridMultilevel"/>
    <w:tmpl w:val="2DCE9E02"/>
    <w:lvl w:ilvl="0" w:tplc="04090003">
      <w:start w:val="1"/>
      <w:numFmt w:val="bullet"/>
      <w:lvlText w:val="o"/>
      <w:lvlJc w:val="left"/>
      <w:pPr>
        <w:ind w:left="720" w:hanging="360"/>
      </w:pPr>
      <w:rPr>
        <w:rFonts w:ascii="Courier New" w:hAnsi="Courier New" w:cs="Courier New" w:hint="default"/>
      </w:rPr>
    </w:lvl>
    <w:lvl w:ilvl="1" w:tplc="CB6A56A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F14A3"/>
    <w:multiLevelType w:val="hybridMultilevel"/>
    <w:tmpl w:val="E31C5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3A52C9"/>
    <w:multiLevelType w:val="hybridMultilevel"/>
    <w:tmpl w:val="7D06DB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F13E1"/>
    <w:multiLevelType w:val="hybridMultilevel"/>
    <w:tmpl w:val="9B9A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A7166"/>
    <w:multiLevelType w:val="hybridMultilevel"/>
    <w:tmpl w:val="C0FA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B76088"/>
    <w:multiLevelType w:val="hybridMultilevel"/>
    <w:tmpl w:val="15C0E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BA4F06"/>
    <w:multiLevelType w:val="hybridMultilevel"/>
    <w:tmpl w:val="9BEA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6"/>
  </w:num>
  <w:num w:numId="6">
    <w:abstractNumId w:val="1"/>
  </w:num>
  <w:num w:numId="7">
    <w:abstractNumId w:val="0"/>
  </w:num>
  <w:num w:numId="8">
    <w:abstractNumId w:val="7"/>
  </w:num>
  <w:num w:numId="9">
    <w:abstractNumId w:val="0"/>
    <w:lvlOverride w:ilvl="0"/>
    <w:lvlOverride w:ilvl="1"/>
    <w:lvlOverride w:ilvl="2">
      <w:startOverride w:val="1"/>
    </w:lvlOverride>
    <w:lvlOverride w:ilvl="3"/>
    <w:lvlOverride w:ilvl="4"/>
    <w:lvlOverride w:ilvl="5"/>
    <w:lvlOverride w:ilvl="6"/>
    <w:lvlOverride w:ilvl="7"/>
    <w:lvlOverride w:ilvl="8"/>
  </w:num>
  <w:num w:numId="10">
    <w:abstractNumId w:val="0"/>
    <w:lvlOverride w:ilvl="0"/>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128"/>
    <w:rsid w:val="00017B2D"/>
    <w:rsid w:val="00027570"/>
    <w:rsid w:val="00067AAC"/>
    <w:rsid w:val="00165D46"/>
    <w:rsid w:val="00177E60"/>
    <w:rsid w:val="0018096D"/>
    <w:rsid w:val="001C4E46"/>
    <w:rsid w:val="001D6925"/>
    <w:rsid w:val="001E233F"/>
    <w:rsid w:val="00202215"/>
    <w:rsid w:val="0021019B"/>
    <w:rsid w:val="00221184"/>
    <w:rsid w:val="0022302D"/>
    <w:rsid w:val="00237F49"/>
    <w:rsid w:val="002420DE"/>
    <w:rsid w:val="0028406E"/>
    <w:rsid w:val="0028455E"/>
    <w:rsid w:val="002A54AB"/>
    <w:rsid w:val="002E014C"/>
    <w:rsid w:val="002F7859"/>
    <w:rsid w:val="00307E54"/>
    <w:rsid w:val="00356B53"/>
    <w:rsid w:val="003640E2"/>
    <w:rsid w:val="00380016"/>
    <w:rsid w:val="00394F3E"/>
    <w:rsid w:val="003B3743"/>
    <w:rsid w:val="003E451F"/>
    <w:rsid w:val="00435C92"/>
    <w:rsid w:val="0043738E"/>
    <w:rsid w:val="00442F10"/>
    <w:rsid w:val="0046720C"/>
    <w:rsid w:val="004C56D4"/>
    <w:rsid w:val="004E10EB"/>
    <w:rsid w:val="005130A0"/>
    <w:rsid w:val="00523E6B"/>
    <w:rsid w:val="00550AA8"/>
    <w:rsid w:val="00554896"/>
    <w:rsid w:val="005775F9"/>
    <w:rsid w:val="00580DCD"/>
    <w:rsid w:val="00582088"/>
    <w:rsid w:val="00585863"/>
    <w:rsid w:val="005A3F48"/>
    <w:rsid w:val="005B4372"/>
    <w:rsid w:val="005B5C68"/>
    <w:rsid w:val="005B6DE9"/>
    <w:rsid w:val="00621242"/>
    <w:rsid w:val="006464E8"/>
    <w:rsid w:val="006604F8"/>
    <w:rsid w:val="00660874"/>
    <w:rsid w:val="006910F4"/>
    <w:rsid w:val="006971DC"/>
    <w:rsid w:val="006A16F3"/>
    <w:rsid w:val="006A7128"/>
    <w:rsid w:val="006C0B20"/>
    <w:rsid w:val="006D0FBF"/>
    <w:rsid w:val="006E30DD"/>
    <w:rsid w:val="006F2D6A"/>
    <w:rsid w:val="007074D5"/>
    <w:rsid w:val="007219AF"/>
    <w:rsid w:val="00742C6F"/>
    <w:rsid w:val="0079170B"/>
    <w:rsid w:val="007A1324"/>
    <w:rsid w:val="007B4BD9"/>
    <w:rsid w:val="007F07F1"/>
    <w:rsid w:val="0080111F"/>
    <w:rsid w:val="00804E0C"/>
    <w:rsid w:val="00835BB3"/>
    <w:rsid w:val="00845E90"/>
    <w:rsid w:val="00851EB3"/>
    <w:rsid w:val="00873A5E"/>
    <w:rsid w:val="008A4064"/>
    <w:rsid w:val="008A5744"/>
    <w:rsid w:val="008B197F"/>
    <w:rsid w:val="008B1CC7"/>
    <w:rsid w:val="00910718"/>
    <w:rsid w:val="00982C28"/>
    <w:rsid w:val="00987EEB"/>
    <w:rsid w:val="009A3F2E"/>
    <w:rsid w:val="009C0270"/>
    <w:rsid w:val="009C7584"/>
    <w:rsid w:val="009F754F"/>
    <w:rsid w:val="00A124C4"/>
    <w:rsid w:val="00A15607"/>
    <w:rsid w:val="00A33A6E"/>
    <w:rsid w:val="00A54070"/>
    <w:rsid w:val="00A70774"/>
    <w:rsid w:val="00A85FE8"/>
    <w:rsid w:val="00A86FB4"/>
    <w:rsid w:val="00AB73A8"/>
    <w:rsid w:val="00AD69CD"/>
    <w:rsid w:val="00AF2C33"/>
    <w:rsid w:val="00B11BD1"/>
    <w:rsid w:val="00B21BE0"/>
    <w:rsid w:val="00B62790"/>
    <w:rsid w:val="00B77C26"/>
    <w:rsid w:val="00B844DD"/>
    <w:rsid w:val="00B8538D"/>
    <w:rsid w:val="00B85A9C"/>
    <w:rsid w:val="00BC1862"/>
    <w:rsid w:val="00C12C1E"/>
    <w:rsid w:val="00C22A19"/>
    <w:rsid w:val="00C22E86"/>
    <w:rsid w:val="00C47394"/>
    <w:rsid w:val="00C76068"/>
    <w:rsid w:val="00C95370"/>
    <w:rsid w:val="00CA014F"/>
    <w:rsid w:val="00CA0F23"/>
    <w:rsid w:val="00CA2C90"/>
    <w:rsid w:val="00CD2D52"/>
    <w:rsid w:val="00D10C68"/>
    <w:rsid w:val="00D11D05"/>
    <w:rsid w:val="00D1603F"/>
    <w:rsid w:val="00D6431E"/>
    <w:rsid w:val="00D95585"/>
    <w:rsid w:val="00DA5A33"/>
    <w:rsid w:val="00DB09DA"/>
    <w:rsid w:val="00DC3C6E"/>
    <w:rsid w:val="00DE5E41"/>
    <w:rsid w:val="00DF1223"/>
    <w:rsid w:val="00DF2EAA"/>
    <w:rsid w:val="00DF6834"/>
    <w:rsid w:val="00E1002B"/>
    <w:rsid w:val="00E8697A"/>
    <w:rsid w:val="00E93CBD"/>
    <w:rsid w:val="00E94839"/>
    <w:rsid w:val="00EA00B5"/>
    <w:rsid w:val="00EC563B"/>
    <w:rsid w:val="00ED3C02"/>
    <w:rsid w:val="00EF0DD7"/>
    <w:rsid w:val="00F079E2"/>
    <w:rsid w:val="00F125B3"/>
    <w:rsid w:val="00F5099A"/>
    <w:rsid w:val="00F57763"/>
    <w:rsid w:val="00F70B0E"/>
    <w:rsid w:val="00FB3F0D"/>
    <w:rsid w:val="00FB54C1"/>
    <w:rsid w:val="00FD5587"/>
    <w:rsid w:val="00FE4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0F5EA"/>
  <w15:chartTrackingRefBased/>
  <w15:docId w15:val="{C36906C0-D714-487B-A95B-BC53CE1C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014F"/>
    <w:pPr>
      <w:ind w:left="720"/>
      <w:contextualSpacing/>
    </w:pPr>
  </w:style>
  <w:style w:type="character" w:styleId="Hyperlink">
    <w:name w:val="Hyperlink"/>
    <w:basedOn w:val="DefaultParagraphFont"/>
    <w:uiPriority w:val="99"/>
    <w:unhideWhenUsed/>
    <w:rsid w:val="00AF2C33"/>
    <w:rPr>
      <w:color w:val="0000FF"/>
      <w:u w:val="single"/>
    </w:rPr>
  </w:style>
  <w:style w:type="character" w:styleId="FollowedHyperlink">
    <w:name w:val="FollowedHyperlink"/>
    <w:basedOn w:val="DefaultParagraphFont"/>
    <w:uiPriority w:val="99"/>
    <w:semiHidden/>
    <w:unhideWhenUsed/>
    <w:rsid w:val="00DE5E41"/>
    <w:rPr>
      <w:color w:val="954F72" w:themeColor="followedHyperlink"/>
      <w:u w:val="single"/>
    </w:rPr>
  </w:style>
  <w:style w:type="character" w:styleId="CommentReference">
    <w:name w:val="annotation reference"/>
    <w:basedOn w:val="DefaultParagraphFont"/>
    <w:uiPriority w:val="99"/>
    <w:semiHidden/>
    <w:unhideWhenUsed/>
    <w:rsid w:val="00435C92"/>
    <w:rPr>
      <w:sz w:val="16"/>
      <w:szCs w:val="16"/>
    </w:rPr>
  </w:style>
  <w:style w:type="paragraph" w:styleId="CommentText">
    <w:name w:val="annotation text"/>
    <w:basedOn w:val="Normal"/>
    <w:link w:val="CommentTextChar"/>
    <w:uiPriority w:val="99"/>
    <w:semiHidden/>
    <w:unhideWhenUsed/>
    <w:rsid w:val="00435C92"/>
    <w:pPr>
      <w:spacing w:line="240" w:lineRule="auto"/>
    </w:pPr>
    <w:rPr>
      <w:sz w:val="20"/>
      <w:szCs w:val="20"/>
    </w:rPr>
  </w:style>
  <w:style w:type="character" w:customStyle="1" w:styleId="CommentTextChar">
    <w:name w:val="Comment Text Char"/>
    <w:basedOn w:val="DefaultParagraphFont"/>
    <w:link w:val="CommentText"/>
    <w:uiPriority w:val="99"/>
    <w:semiHidden/>
    <w:rsid w:val="00435C92"/>
    <w:rPr>
      <w:sz w:val="20"/>
      <w:szCs w:val="20"/>
    </w:rPr>
  </w:style>
  <w:style w:type="paragraph" w:styleId="CommentSubject">
    <w:name w:val="annotation subject"/>
    <w:basedOn w:val="CommentText"/>
    <w:next w:val="CommentText"/>
    <w:link w:val="CommentSubjectChar"/>
    <w:uiPriority w:val="99"/>
    <w:semiHidden/>
    <w:unhideWhenUsed/>
    <w:rsid w:val="00435C92"/>
    <w:rPr>
      <w:b/>
      <w:bCs/>
    </w:rPr>
  </w:style>
  <w:style w:type="character" w:customStyle="1" w:styleId="CommentSubjectChar">
    <w:name w:val="Comment Subject Char"/>
    <w:basedOn w:val="CommentTextChar"/>
    <w:link w:val="CommentSubject"/>
    <w:uiPriority w:val="99"/>
    <w:semiHidden/>
    <w:rsid w:val="00435C92"/>
    <w:rPr>
      <w:b/>
      <w:bCs/>
      <w:sz w:val="20"/>
      <w:szCs w:val="20"/>
    </w:rPr>
  </w:style>
  <w:style w:type="paragraph" w:styleId="BalloonText">
    <w:name w:val="Balloon Text"/>
    <w:basedOn w:val="Normal"/>
    <w:link w:val="BalloonTextChar"/>
    <w:uiPriority w:val="99"/>
    <w:semiHidden/>
    <w:unhideWhenUsed/>
    <w:rsid w:val="00435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C92"/>
    <w:rPr>
      <w:rFonts w:ascii="Segoe UI" w:hAnsi="Segoe UI" w:cs="Segoe UI"/>
      <w:sz w:val="18"/>
      <w:szCs w:val="18"/>
    </w:rPr>
  </w:style>
  <w:style w:type="paragraph" w:styleId="Header">
    <w:name w:val="header"/>
    <w:basedOn w:val="Normal"/>
    <w:link w:val="HeaderChar"/>
    <w:uiPriority w:val="99"/>
    <w:unhideWhenUsed/>
    <w:rsid w:val="00E10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02B"/>
  </w:style>
  <w:style w:type="paragraph" w:styleId="Footer">
    <w:name w:val="footer"/>
    <w:basedOn w:val="Normal"/>
    <w:link w:val="FooterChar"/>
    <w:uiPriority w:val="99"/>
    <w:unhideWhenUsed/>
    <w:rsid w:val="00E10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34667">
      <w:bodyDiv w:val="1"/>
      <w:marLeft w:val="0"/>
      <w:marRight w:val="0"/>
      <w:marTop w:val="0"/>
      <w:marBottom w:val="0"/>
      <w:divBdr>
        <w:top w:val="none" w:sz="0" w:space="0" w:color="auto"/>
        <w:left w:val="none" w:sz="0" w:space="0" w:color="auto"/>
        <w:bottom w:val="none" w:sz="0" w:space="0" w:color="auto"/>
        <w:right w:val="none" w:sz="0" w:space="0" w:color="auto"/>
      </w:divBdr>
    </w:div>
    <w:div w:id="176580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3B7160BCA58341B717C9CB11CAE72C" ma:contentTypeVersion="3" ma:contentTypeDescription="Create a new document." ma:contentTypeScope="" ma:versionID="a22d7ea4cc7c47a6957875663cb5b189">
  <xsd:schema xmlns:xsd="http://www.w3.org/2001/XMLSchema" xmlns:xs="http://www.w3.org/2001/XMLSchema" xmlns:p="http://schemas.microsoft.com/office/2006/metadata/properties" xmlns:ns2="fd3f18f5-6145-4f67-bf5d-ebaac4a70c3a" targetNamespace="http://schemas.microsoft.com/office/2006/metadata/properties" ma:root="true" ma:fieldsID="93fba37efc6f106cce1247933a69e9d0" ns2:_="">
    <xsd:import namespace="fd3f18f5-6145-4f67-bf5d-ebaac4a70c3a"/>
    <xsd:element name="properties">
      <xsd:complexType>
        <xsd:sequence>
          <xsd:element name="documentManagement">
            <xsd:complexType>
              <xsd:all>
                <xsd:element ref="ns2:Document_x0020_Type"/>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f18f5-6145-4f67-bf5d-ebaac4a70c3a" elementFormDefault="qualified">
    <xsd:import namespace="http://schemas.microsoft.com/office/2006/documentManagement/types"/>
    <xsd:import namespace="http://schemas.microsoft.com/office/infopath/2007/PartnerControls"/>
    <xsd:element name="Document_x0020_Type" ma:index="8" ma:displayName="Document Type" ma:default="unassigned" ma:format="Dropdown" ma:internalName="Document_x0020_Type">
      <xsd:simpleType>
        <xsd:union memberTypes="dms:Text">
          <xsd:simpleType>
            <xsd:restriction base="dms:Choice">
              <xsd:enumeration value="Agendas/Minutes"/>
              <xsd:enumeration value="Analysis"/>
              <xsd:enumeration value="Development"/>
              <xsd:enumeration value="Deploy"/>
              <xsd:enumeration value="Project Plans/Charter"/>
              <xsd:enumeration value="Training"/>
              <xsd:enumeration value="unassigned"/>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fd3f18f5-6145-4f67-bf5d-ebaac4a70c3a">Deploy</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FBF794-8751-4A6C-96ED-FF61C4374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f18f5-6145-4f67-bf5d-ebaac4a70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B64EE-8D59-4D95-833A-AD16510745EA}">
  <ds:schemaRefs>
    <ds:schemaRef ds:uri="http://schemas.microsoft.com/office/2006/metadata/properties"/>
    <ds:schemaRef ds:uri="http://schemas.microsoft.com/office/infopath/2007/PartnerControls"/>
    <ds:schemaRef ds:uri="fd3f18f5-6145-4f67-bf5d-ebaac4a70c3a"/>
  </ds:schemaRefs>
</ds:datastoreItem>
</file>

<file path=customXml/itemProps3.xml><?xml version="1.0" encoding="utf-8"?>
<ds:datastoreItem xmlns:ds="http://schemas.openxmlformats.org/officeDocument/2006/customXml" ds:itemID="{98BA7159-70FB-42DF-B485-2282865F03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Building Moving Procedures Template</vt:lpstr>
    </vt:vector>
  </TitlesOfParts>
  <Company>Shorenstein</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Moving Procedures Template</dc:title>
  <dc:subject/>
  <dc:creator>Linda Bettencourt</dc:creator>
  <cp:keywords/>
  <dc:description/>
  <cp:lastModifiedBy>Linda Bettencourt</cp:lastModifiedBy>
  <cp:revision>3</cp:revision>
  <cp:lastPrinted>2019-08-12T22:25:00Z</cp:lastPrinted>
  <dcterms:created xsi:type="dcterms:W3CDTF">2019-12-10T22:00:00Z</dcterms:created>
  <dcterms:modified xsi:type="dcterms:W3CDTF">2019-12-10T22:19:00Z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0x010100C03B7160BCA58341B717C9CB11CAE72C</vt:lpwstr>
  </property>
</Properties>
</file>